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301" w:type="dxa"/>
        <w:tblInd w:w="-572" w:type="dxa"/>
        <w:tblLook w:val="04A0" w:firstRow="1" w:lastRow="0" w:firstColumn="1" w:lastColumn="0" w:noHBand="0" w:noVBand="1"/>
      </w:tblPr>
      <w:tblGrid>
        <w:gridCol w:w="1796"/>
        <w:gridCol w:w="8505"/>
      </w:tblGrid>
      <w:tr w:rsidR="0046607B" w14:paraId="37C6A203" w14:textId="77777777" w:rsidTr="00DC4714">
        <w:tc>
          <w:tcPr>
            <w:tcW w:w="1796" w:type="dxa"/>
            <w:vAlign w:val="center"/>
          </w:tcPr>
          <w:p w14:paraId="0D5A35A8" w14:textId="7310FA95" w:rsidR="0046607B" w:rsidRPr="009404C2" w:rsidRDefault="0046607B" w:rsidP="009404C2">
            <w:pPr>
              <w:jc w:val="center"/>
              <w:rPr>
                <w:b/>
                <w:bCs/>
              </w:rPr>
            </w:pPr>
            <w:bookmarkStart w:id="0" w:name="_Hlk164940051"/>
            <w:r w:rsidRPr="009404C2">
              <w:rPr>
                <w:b/>
                <w:bCs/>
              </w:rPr>
              <w:t>Axe</w:t>
            </w:r>
            <w:r w:rsidR="00B019D6">
              <w:rPr>
                <w:b/>
                <w:bCs/>
              </w:rPr>
              <w:t xml:space="preserve"> </w:t>
            </w:r>
            <w:r w:rsidR="00C07A6C">
              <w:rPr>
                <w:b/>
                <w:bCs/>
              </w:rPr>
              <w:t>4</w:t>
            </w:r>
          </w:p>
        </w:tc>
        <w:tc>
          <w:tcPr>
            <w:tcW w:w="8505" w:type="dxa"/>
          </w:tcPr>
          <w:p w14:paraId="58C92614" w14:textId="0D26FA1D" w:rsidR="0046607B" w:rsidRPr="00F01F3C" w:rsidRDefault="00F9270A" w:rsidP="00C07A6C">
            <w:pPr>
              <w:autoSpaceDE w:val="0"/>
              <w:autoSpaceDN w:val="0"/>
              <w:adjustRightInd w:val="0"/>
              <w:jc w:val="center"/>
              <w:rPr>
                <w:rFonts w:ascii="CIDFont+F3" w:hAnsi="CIDFont+F3" w:cs="CIDFont+F3"/>
                <w:b/>
                <w:bCs/>
                <w:color w:val="009239"/>
                <w:kern w:val="0"/>
                <w:sz w:val="24"/>
                <w:szCs w:val="24"/>
              </w:rPr>
            </w:pPr>
            <w:r w:rsidRPr="00C07A6C">
              <w:rPr>
                <w:rFonts w:ascii="CIDFont+F3" w:hAnsi="CIDFont+F3" w:cs="CIDFont+F3"/>
                <w:b/>
                <w:bCs/>
                <w:kern w:val="0"/>
                <w:sz w:val="24"/>
                <w:szCs w:val="24"/>
              </w:rPr>
              <w:t>Préservation du bon état de santé des abeilles et autres pollinisateurs</w:t>
            </w:r>
          </w:p>
        </w:tc>
      </w:tr>
      <w:tr w:rsidR="0046607B" w14:paraId="3E974957" w14:textId="77777777" w:rsidTr="00DC4714">
        <w:trPr>
          <w:trHeight w:val="660"/>
        </w:trPr>
        <w:tc>
          <w:tcPr>
            <w:tcW w:w="1796" w:type="dxa"/>
            <w:vAlign w:val="center"/>
          </w:tcPr>
          <w:p w14:paraId="5A421146" w14:textId="046BA02B" w:rsidR="0046607B" w:rsidRPr="009404C2" w:rsidRDefault="0046607B" w:rsidP="009404C2">
            <w:pPr>
              <w:jc w:val="center"/>
              <w:rPr>
                <w:b/>
                <w:bCs/>
              </w:rPr>
            </w:pPr>
            <w:r w:rsidRPr="009404C2">
              <w:rPr>
                <w:b/>
                <w:bCs/>
              </w:rPr>
              <w:t>Action</w:t>
            </w:r>
            <w:r w:rsidR="00B019D6">
              <w:rPr>
                <w:b/>
                <w:bCs/>
              </w:rPr>
              <w:t xml:space="preserve"> 1</w:t>
            </w:r>
          </w:p>
        </w:tc>
        <w:tc>
          <w:tcPr>
            <w:tcW w:w="8505" w:type="dxa"/>
            <w:vAlign w:val="center"/>
          </w:tcPr>
          <w:p w14:paraId="2A47738D" w14:textId="77777777" w:rsidR="0046607B" w:rsidRPr="0091548D" w:rsidRDefault="00F9270A" w:rsidP="00BB5E9E">
            <w:pPr>
              <w:autoSpaceDE w:val="0"/>
              <w:autoSpaceDN w:val="0"/>
              <w:adjustRightInd w:val="0"/>
              <w:jc w:val="center"/>
              <w:rPr>
                <w:b/>
                <w:bCs/>
              </w:rPr>
            </w:pPr>
            <w:r w:rsidRPr="0091548D">
              <w:rPr>
                <w:b/>
                <w:bCs/>
              </w:rPr>
              <w:t>Renforcer la gouvernance en santé des abeilles</w:t>
            </w:r>
          </w:p>
          <w:p w14:paraId="339D8F82" w14:textId="7FC8CB4A" w:rsidR="00BB5E9E" w:rsidRPr="00F01F3C" w:rsidRDefault="00BB5E9E" w:rsidP="00BB5E9E">
            <w:pPr>
              <w:autoSpaceDE w:val="0"/>
              <w:autoSpaceDN w:val="0"/>
              <w:adjustRightInd w:val="0"/>
              <w:jc w:val="center"/>
              <w:rPr>
                <w:rFonts w:ascii="CIDFont+F2" w:hAnsi="CIDFont+F2" w:cs="CIDFont+F2"/>
                <w:kern w:val="0"/>
              </w:rPr>
            </w:pPr>
            <w:r>
              <w:rPr>
                <w:rFonts w:ascii="CIDFont+F2" w:hAnsi="CIDFont+F2" w:cs="CIDFont+F2"/>
                <w:kern w:val="0"/>
              </w:rPr>
              <w:t xml:space="preserve">- </w:t>
            </w:r>
            <w:r w:rsidR="00456E2A">
              <w:rPr>
                <w:rFonts w:ascii="CIDFont+F2" w:hAnsi="CIDFont+F2" w:cs="CIDFont+F2"/>
                <w:kern w:val="0"/>
              </w:rPr>
              <w:t>Rédacteurs ADA GE</w:t>
            </w:r>
            <w:r w:rsidR="0064317F">
              <w:rPr>
                <w:rFonts w:ascii="CIDFont+F2" w:hAnsi="CIDFont+F2" w:cs="CIDFont+F2"/>
                <w:kern w:val="0"/>
              </w:rPr>
              <w:t xml:space="preserve"> et GDS</w:t>
            </w:r>
            <w:r w:rsidR="00456E2A">
              <w:rPr>
                <w:rFonts w:ascii="CIDFont+F2" w:hAnsi="CIDFont+F2" w:cs="CIDFont+F2"/>
                <w:kern w:val="0"/>
              </w:rPr>
              <w:t xml:space="preserve"> -</w:t>
            </w:r>
          </w:p>
        </w:tc>
      </w:tr>
      <w:tr w:rsidR="0046607B" w14:paraId="29833F62" w14:textId="77777777" w:rsidTr="00DC4714">
        <w:trPr>
          <w:trHeight w:val="556"/>
        </w:trPr>
        <w:tc>
          <w:tcPr>
            <w:tcW w:w="1796" w:type="dxa"/>
            <w:vAlign w:val="center"/>
          </w:tcPr>
          <w:p w14:paraId="4CE563A6" w14:textId="77777777" w:rsidR="0046607B" w:rsidRPr="009404C2" w:rsidRDefault="0046607B" w:rsidP="009404C2">
            <w:pPr>
              <w:jc w:val="center"/>
              <w:rPr>
                <w:b/>
                <w:bCs/>
              </w:rPr>
            </w:pPr>
            <w:r w:rsidRPr="009404C2">
              <w:rPr>
                <w:b/>
                <w:bCs/>
              </w:rPr>
              <w:t>Priorité</w:t>
            </w:r>
          </w:p>
        </w:tc>
        <w:tc>
          <w:tcPr>
            <w:tcW w:w="8505" w:type="dxa"/>
            <w:vAlign w:val="center"/>
          </w:tcPr>
          <w:p w14:paraId="172CB75E" w14:textId="19093C8A" w:rsidR="0046607B" w:rsidRDefault="00BB5E9E" w:rsidP="00AC3C09">
            <w:r>
              <w:t>1</w:t>
            </w:r>
          </w:p>
        </w:tc>
      </w:tr>
      <w:tr w:rsidR="0046607B" w14:paraId="2D98E5EA" w14:textId="77777777" w:rsidTr="00F55137">
        <w:trPr>
          <w:trHeight w:val="1972"/>
        </w:trPr>
        <w:tc>
          <w:tcPr>
            <w:tcW w:w="1796" w:type="dxa"/>
            <w:vAlign w:val="center"/>
          </w:tcPr>
          <w:p w14:paraId="6920D17E" w14:textId="77777777" w:rsidR="0046607B" w:rsidRPr="009404C2" w:rsidRDefault="0046607B" w:rsidP="009404C2">
            <w:pPr>
              <w:jc w:val="center"/>
              <w:rPr>
                <w:b/>
                <w:bCs/>
              </w:rPr>
            </w:pPr>
            <w:r w:rsidRPr="009404C2">
              <w:rPr>
                <w:b/>
                <w:bCs/>
              </w:rPr>
              <w:t>Objectifs</w:t>
            </w:r>
          </w:p>
        </w:tc>
        <w:tc>
          <w:tcPr>
            <w:tcW w:w="8505" w:type="dxa"/>
            <w:vAlign w:val="center"/>
          </w:tcPr>
          <w:p w14:paraId="18D0351D" w14:textId="6602C291" w:rsidR="00456E2A" w:rsidRDefault="00F9270A" w:rsidP="00F55137">
            <w:pPr>
              <w:pStyle w:val="Paragraphedeliste"/>
              <w:numPr>
                <w:ilvl w:val="0"/>
                <w:numId w:val="9"/>
              </w:numPr>
            </w:pPr>
            <w:r w:rsidRPr="00F9270A">
              <w:t>Identifier les acteurs clés de la santé des abeilles et définir leurs rôles, y compris les</w:t>
            </w:r>
            <w:r w:rsidR="00816170">
              <w:t xml:space="preserve"> </w:t>
            </w:r>
            <w:r w:rsidRPr="00F9270A">
              <w:t>GDS apicoles, les OVVT avec le GTV Grand Est, la DRAAF, les DDPP et l'ADA Grand Est</w:t>
            </w:r>
            <w:r w:rsidR="00BB5E9E">
              <w:t>.</w:t>
            </w:r>
          </w:p>
          <w:p w14:paraId="3549DDAE" w14:textId="7A0EB6B8" w:rsidR="009404C2" w:rsidRDefault="00456E2A" w:rsidP="00F55137">
            <w:pPr>
              <w:pStyle w:val="Paragraphedeliste"/>
              <w:numPr>
                <w:ilvl w:val="0"/>
                <w:numId w:val="9"/>
              </w:numPr>
            </w:pPr>
            <w:r>
              <w:t>P</w:t>
            </w:r>
            <w:r w:rsidR="00BB5E9E">
              <w:t xml:space="preserve">romouvoir </w:t>
            </w:r>
            <w:r w:rsidR="00BB5E9E" w:rsidRPr="00F9270A">
              <w:t>la coordination et la communication entre les différents acteurs impliqués dans la santé des abeilles.</w:t>
            </w:r>
          </w:p>
          <w:p w14:paraId="60DA310F" w14:textId="74D662C1" w:rsidR="001D3164" w:rsidRDefault="001D3164" w:rsidP="00F55137">
            <w:pPr>
              <w:pStyle w:val="Paragraphedeliste"/>
              <w:numPr>
                <w:ilvl w:val="0"/>
                <w:numId w:val="9"/>
              </w:numPr>
            </w:pPr>
            <w:r>
              <w:t xml:space="preserve">Créer un organigramme des acteurs et </w:t>
            </w:r>
            <w:r w:rsidR="009E7D1C">
              <w:t xml:space="preserve">de </w:t>
            </w:r>
            <w:r>
              <w:t>leurs rôles clairement définis.</w:t>
            </w:r>
          </w:p>
        </w:tc>
      </w:tr>
      <w:tr w:rsidR="0046607B" w14:paraId="6493FA08" w14:textId="77777777" w:rsidTr="00DC4714">
        <w:trPr>
          <w:trHeight w:val="1012"/>
        </w:trPr>
        <w:tc>
          <w:tcPr>
            <w:tcW w:w="1796" w:type="dxa"/>
            <w:vAlign w:val="center"/>
          </w:tcPr>
          <w:p w14:paraId="5DB91733" w14:textId="77777777" w:rsidR="0046607B" w:rsidRPr="009404C2" w:rsidRDefault="0046607B" w:rsidP="009404C2">
            <w:pPr>
              <w:jc w:val="center"/>
              <w:rPr>
                <w:b/>
                <w:bCs/>
              </w:rPr>
            </w:pPr>
            <w:r w:rsidRPr="009404C2">
              <w:rPr>
                <w:b/>
                <w:bCs/>
              </w:rPr>
              <w:t>Calendrier</w:t>
            </w:r>
          </w:p>
        </w:tc>
        <w:tc>
          <w:tcPr>
            <w:tcW w:w="8505" w:type="dxa"/>
            <w:vAlign w:val="center"/>
          </w:tcPr>
          <w:p w14:paraId="669F01DF" w14:textId="777AA745" w:rsidR="0046607B" w:rsidRDefault="0D8D6758" w:rsidP="00AC3C09">
            <w:r>
              <w:t>Immédiat : mise à disposition des informations existantes.</w:t>
            </w:r>
          </w:p>
          <w:p w14:paraId="67C66A68" w14:textId="63858C98" w:rsidR="009404C2" w:rsidRDefault="0D8D6758" w:rsidP="00AC3C09">
            <w:r>
              <w:t>Fin 2024 : rencontre entre DRAAF, GTV, GDS et ADA pour échanger sur des cas cliniques.</w:t>
            </w:r>
          </w:p>
          <w:p w14:paraId="20BBED86" w14:textId="20EF3F1A" w:rsidR="00F9270A" w:rsidRDefault="0D8D6758" w:rsidP="00AC3C09">
            <w:r>
              <w:t>Automne 2025 : Rencontres Sanitaires organisées par GTV, GDS et ADA GE.</w:t>
            </w:r>
          </w:p>
        </w:tc>
      </w:tr>
      <w:tr w:rsidR="0046607B" w14:paraId="0FE7E4B4" w14:textId="77777777" w:rsidTr="00DC4714">
        <w:tc>
          <w:tcPr>
            <w:tcW w:w="1796" w:type="dxa"/>
            <w:vAlign w:val="center"/>
          </w:tcPr>
          <w:p w14:paraId="1BEBE245" w14:textId="77777777" w:rsidR="0046607B" w:rsidRPr="009404C2" w:rsidRDefault="0046607B" w:rsidP="009404C2">
            <w:pPr>
              <w:jc w:val="center"/>
              <w:rPr>
                <w:b/>
                <w:bCs/>
              </w:rPr>
            </w:pPr>
            <w:r w:rsidRPr="009404C2">
              <w:rPr>
                <w:b/>
                <w:bCs/>
              </w:rPr>
              <w:t>Contexte</w:t>
            </w:r>
          </w:p>
        </w:tc>
        <w:tc>
          <w:tcPr>
            <w:tcW w:w="8505" w:type="dxa"/>
          </w:tcPr>
          <w:p w14:paraId="546AED47" w14:textId="7394E14A" w:rsidR="00F9270A" w:rsidRDefault="00F9270A" w:rsidP="00F9270A">
            <w:pPr>
              <w:jc w:val="both"/>
            </w:pPr>
          </w:p>
          <w:p w14:paraId="51690F33" w14:textId="1301D97B" w:rsidR="00D4667D" w:rsidRDefault="0D8D6758" w:rsidP="006C7255">
            <w:pPr>
              <w:jc w:val="both"/>
            </w:pPr>
            <w:r>
              <w:t>L'Action 1 vise à identifier et définir les rôles des différents acteurs impliqués dans la santé des abeilles. Cela inclut la DRAAF, les DDPP, le GTV Grand Est, les GDS apicoles, et l'ADA Grand Est. Cette action se concentre sur la création d'un cadre de coordination et de collaboration pour améliorer la gestion sanitaire des abeilles. L'objectif est de renforcer la gouvernance en santé apicole, en assurant une communication et une coopération efficaces entre les parties prenantes.</w:t>
            </w:r>
          </w:p>
          <w:p w14:paraId="435430FB" w14:textId="414B655D" w:rsidR="001A2F5B" w:rsidRDefault="001A2F5B" w:rsidP="006C7255">
            <w:pPr>
              <w:jc w:val="both"/>
            </w:pPr>
          </w:p>
        </w:tc>
      </w:tr>
      <w:tr w:rsidR="0046607B" w14:paraId="2C672376" w14:textId="77777777" w:rsidTr="00DC4714">
        <w:tc>
          <w:tcPr>
            <w:tcW w:w="1796" w:type="dxa"/>
            <w:vAlign w:val="center"/>
          </w:tcPr>
          <w:p w14:paraId="4E3D86DC" w14:textId="77777777" w:rsidR="0046607B" w:rsidRPr="009404C2" w:rsidRDefault="0046607B" w:rsidP="009404C2">
            <w:pPr>
              <w:jc w:val="center"/>
              <w:rPr>
                <w:b/>
                <w:bCs/>
              </w:rPr>
            </w:pPr>
            <w:r w:rsidRPr="009404C2">
              <w:rPr>
                <w:b/>
                <w:bCs/>
              </w:rPr>
              <w:t>Description</w:t>
            </w:r>
          </w:p>
        </w:tc>
        <w:tc>
          <w:tcPr>
            <w:tcW w:w="8505" w:type="dxa"/>
          </w:tcPr>
          <w:p w14:paraId="6D29AB98" w14:textId="77777777" w:rsidR="00D31EE1" w:rsidRDefault="0042352D" w:rsidP="009404C2">
            <w:pPr>
              <w:jc w:val="both"/>
            </w:pPr>
            <w:r>
              <w:t xml:space="preserve">Les acteurs en lien </w:t>
            </w:r>
            <w:r w:rsidR="00D31EE1">
              <w:t>avec le premier objectif de cette action sont listés ci-après :</w:t>
            </w:r>
          </w:p>
          <w:p w14:paraId="02AEACCB" w14:textId="0F20F487" w:rsidR="00C2693E" w:rsidRDefault="0D8D6758" w:rsidP="009404C2">
            <w:pPr>
              <w:pStyle w:val="Paragraphedeliste"/>
              <w:numPr>
                <w:ilvl w:val="0"/>
                <w:numId w:val="10"/>
              </w:numPr>
              <w:jc w:val="both"/>
            </w:pPr>
            <w:r>
              <w:t xml:space="preserve">La </w:t>
            </w:r>
            <w:r w:rsidRPr="0D8D6758">
              <w:rPr>
                <w:b/>
                <w:bCs/>
              </w:rPr>
              <w:t>DRAAF</w:t>
            </w:r>
            <w:r>
              <w:t xml:space="preserve"> coordonne les actions régionales en matière d'apiculture, en collaboration avec les différentes parties prenantes telles que les apiculteurs, les associations, les organismes sanitaires, et les autorités locales. </w:t>
            </w:r>
          </w:p>
          <w:p w14:paraId="30B25B68" w14:textId="42B48EC7" w:rsidR="00C2693E" w:rsidRDefault="0D8D6758" w:rsidP="00D30DAF">
            <w:pPr>
              <w:pStyle w:val="Paragraphedeliste"/>
              <w:numPr>
                <w:ilvl w:val="0"/>
                <w:numId w:val="10"/>
              </w:numPr>
              <w:jc w:val="both"/>
            </w:pPr>
            <w:r>
              <w:t>Les</w:t>
            </w:r>
            <w:r w:rsidRPr="009E7D1C">
              <w:rPr>
                <w:b/>
                <w:bCs/>
              </w:rPr>
              <w:t xml:space="preserve"> DDPP</w:t>
            </w:r>
            <w:r>
              <w:t xml:space="preserve"> (Directions Départementales de la Protection des Populations) jouent un rôle clé dans la régulation, la surveillance sanitaire, et la gestion des obligations légales en apiculture, contribuant ainsi à la protection des abeilles et à la sécurité des produits apicoles : gestion des obligations réglementaires (déclaration de transhumance, déclaration d'activités...), gestion des procédures d'enquête dans le cadre des mortalités massives aigues. </w:t>
            </w:r>
          </w:p>
          <w:p w14:paraId="70EFE311" w14:textId="762B5A86" w:rsidR="00C2693E" w:rsidRDefault="2BE844A7" w:rsidP="2BE844A7">
            <w:pPr>
              <w:pStyle w:val="Paragraphedeliste"/>
              <w:numPr>
                <w:ilvl w:val="0"/>
                <w:numId w:val="10"/>
              </w:numPr>
              <w:jc w:val="both"/>
              <w:rPr>
                <w:rFonts w:ascii="Aptos" w:eastAsia="Aptos" w:hAnsi="Aptos" w:cs="Aptos"/>
              </w:rPr>
            </w:pPr>
            <w:r>
              <w:t xml:space="preserve">Le </w:t>
            </w:r>
            <w:r w:rsidRPr="2BE844A7">
              <w:rPr>
                <w:b/>
                <w:bCs/>
              </w:rPr>
              <w:t>Groupement technique vétérinaire du Grand Est</w:t>
            </w:r>
            <w:r>
              <w:t xml:space="preserve"> (GTV </w:t>
            </w:r>
            <w:r w:rsidR="009E7D1C">
              <w:t>Grand Est</w:t>
            </w:r>
            <w:r>
              <w:t>) coordonne les actions relevant du domaine de la médecine vétérinaire, accompagne et conseille dans</w:t>
            </w:r>
            <w:r w:rsidRPr="2BE844A7">
              <w:t xml:space="preserve"> l</w:t>
            </w:r>
            <w:r w:rsidRPr="2BE844A7">
              <w:rPr>
                <w:rFonts w:ascii="Aptos" w:eastAsia="Aptos" w:hAnsi="Aptos" w:cs="Aptos"/>
              </w:rPr>
              <w:t xml:space="preserve">es projets d'expérimentations sur le suivi d’efficacité des traitements avec médicaments AMM (avec l'ADA et GDS). </w:t>
            </w:r>
          </w:p>
          <w:p w14:paraId="200F5240" w14:textId="4733BD59" w:rsidR="00C2693E" w:rsidRDefault="2BE844A7" w:rsidP="009404C2">
            <w:pPr>
              <w:pStyle w:val="Paragraphedeliste"/>
              <w:numPr>
                <w:ilvl w:val="0"/>
                <w:numId w:val="10"/>
              </w:numPr>
              <w:jc w:val="both"/>
            </w:pPr>
            <w:r>
              <w:t xml:space="preserve">Le </w:t>
            </w:r>
            <w:r w:rsidRPr="2BE844A7">
              <w:rPr>
                <w:b/>
                <w:bCs/>
              </w:rPr>
              <w:t>GDS</w:t>
            </w:r>
            <w:r>
              <w:t xml:space="preserve"> </w:t>
            </w:r>
            <w:r w:rsidRPr="2BE844A7">
              <w:rPr>
                <w:b/>
                <w:bCs/>
              </w:rPr>
              <w:t>section apicole Grand Est</w:t>
            </w:r>
            <w:r>
              <w:t>, Structures départementales en charge du PSE, propose un accompagnement aux apiculteurs adhérents : action de formation d'information, visites sanitaires, commandes de médicaments vétérinaires. Le GSDA dispose pour cela de techniciens sanitaires apicoles sous l'autorité d'un vétérinaire-conseil.</w:t>
            </w:r>
          </w:p>
          <w:p w14:paraId="1A327014" w14:textId="6922DB6C" w:rsidR="00D31EE1" w:rsidRDefault="0D8D6758" w:rsidP="009404C2">
            <w:pPr>
              <w:pStyle w:val="Paragraphedeliste"/>
              <w:numPr>
                <w:ilvl w:val="0"/>
                <w:numId w:val="10"/>
              </w:numPr>
              <w:jc w:val="both"/>
            </w:pPr>
            <w:r>
              <w:t>L’</w:t>
            </w:r>
            <w:r w:rsidRPr="0D8D6758">
              <w:rPr>
                <w:b/>
                <w:bCs/>
              </w:rPr>
              <w:t>ADA Grand Est</w:t>
            </w:r>
            <w:r>
              <w:t>, association régionale faisant partie du réseau national des ADA, accompagne les apiculteurs sur le développement de leurs pratiques techniques et promeut les bonnes pratiques sanitaires. Elle participe également aux recherches nationales avec l’ITSAP sur les enjeux sanitaires apicoles (résistance du varroa aux molécules AMM). Elle propose des formations spécialisées, des suivis de l’infestation varroa, des essais techniques</w:t>
            </w:r>
            <w:r w:rsidR="009E7D1C">
              <w:t xml:space="preserve"> et </w:t>
            </w:r>
            <w:r>
              <w:t>des analyses des enquêtes mortalités hivernales.</w:t>
            </w:r>
          </w:p>
          <w:p w14:paraId="17133862" w14:textId="77777777" w:rsidR="00D31EE1" w:rsidRDefault="00D31EE1" w:rsidP="00D31EE1">
            <w:pPr>
              <w:jc w:val="both"/>
            </w:pPr>
          </w:p>
          <w:p w14:paraId="4DDAEF8F" w14:textId="25E9D814" w:rsidR="00DA301F" w:rsidRDefault="00C2693E" w:rsidP="00D31EE1">
            <w:pPr>
              <w:jc w:val="both"/>
            </w:pPr>
            <w:r>
              <w:t>Le</w:t>
            </w:r>
            <w:r w:rsidR="007A478C">
              <w:t>s</w:t>
            </w:r>
            <w:r>
              <w:t xml:space="preserve"> GDS</w:t>
            </w:r>
            <w:r w:rsidR="007A478C">
              <w:t xml:space="preserve"> du</w:t>
            </w:r>
            <w:r>
              <w:t xml:space="preserve"> G</w:t>
            </w:r>
            <w:r w:rsidR="007A478C">
              <w:t xml:space="preserve">rand </w:t>
            </w:r>
            <w:r>
              <w:t>E</w:t>
            </w:r>
            <w:r w:rsidR="007A478C">
              <w:t>st</w:t>
            </w:r>
            <w:r>
              <w:t xml:space="preserve">, le GTV GE puis l’ADA GE ont respectivement des accords </w:t>
            </w:r>
            <w:r w:rsidR="00DA301F">
              <w:t xml:space="preserve">annuels </w:t>
            </w:r>
            <w:r>
              <w:t xml:space="preserve">de coordination pour travailler ensemble de manière complémentaire. </w:t>
            </w:r>
          </w:p>
          <w:p w14:paraId="1C3F8B4C" w14:textId="77777777" w:rsidR="006C7255" w:rsidRDefault="00C2693E" w:rsidP="00DA301F">
            <w:pPr>
              <w:jc w:val="both"/>
            </w:pPr>
            <w:r>
              <w:lastRenderedPageBreak/>
              <w:t>Le GTV GE et l’ADA GE ont une convention pour que le GTV vienne en appui sur toutes les questions sanitaires et valide les protocoles d’essais technique</w:t>
            </w:r>
            <w:r w:rsidR="001D3164">
              <w:t>s</w:t>
            </w:r>
            <w:r>
              <w:t xml:space="preserve"> de l’ADA, ainsi que les documentations liées au sanitaire. </w:t>
            </w:r>
          </w:p>
          <w:p w14:paraId="5386D29C" w14:textId="77777777" w:rsidR="004564C5" w:rsidRDefault="004564C5" w:rsidP="00DA301F">
            <w:pPr>
              <w:jc w:val="both"/>
            </w:pPr>
          </w:p>
          <w:p w14:paraId="35DD54E1" w14:textId="7EE70656" w:rsidR="004564C5" w:rsidRDefault="004564C5" w:rsidP="004564C5">
            <w:pPr>
              <w:jc w:val="both"/>
            </w:pPr>
            <w:r>
              <w:t>L’un des points importants dans cette action est de lister les différentes actions communes</w:t>
            </w:r>
            <w:r w:rsidR="00D31EE1">
              <w:t xml:space="preserve"> permettant </w:t>
            </w:r>
            <w:r w:rsidR="0092765C">
              <w:t xml:space="preserve">d’aboutir à un organigramme </w:t>
            </w:r>
            <w:r w:rsidR="0005028B">
              <w:t xml:space="preserve">détaillé </w:t>
            </w:r>
            <w:r w:rsidR="0092765C">
              <w:t>en Grand Es</w:t>
            </w:r>
            <w:r w:rsidR="00FF14D1">
              <w:t xml:space="preserve">t </w:t>
            </w:r>
            <w:r>
              <w:t>:</w:t>
            </w:r>
          </w:p>
          <w:p w14:paraId="070DFDFB" w14:textId="5AF45531" w:rsidR="004564C5" w:rsidRDefault="004564C5" w:rsidP="004564C5">
            <w:pPr>
              <w:pStyle w:val="Paragraphedeliste"/>
              <w:numPr>
                <w:ilvl w:val="0"/>
                <w:numId w:val="9"/>
              </w:numPr>
              <w:jc w:val="both"/>
            </w:pPr>
            <w:r>
              <w:t>Rencontre entre DRAAF, GTV, GDS et ADA pour échanger sur des cas cliniques</w:t>
            </w:r>
            <w:r w:rsidR="00223C2F">
              <w:t> ;</w:t>
            </w:r>
          </w:p>
          <w:p w14:paraId="78BB7D0C" w14:textId="2B94CA01" w:rsidR="004564C5" w:rsidRDefault="004564C5" w:rsidP="004564C5">
            <w:pPr>
              <w:pStyle w:val="Paragraphedeliste"/>
              <w:numPr>
                <w:ilvl w:val="0"/>
                <w:numId w:val="9"/>
              </w:numPr>
              <w:jc w:val="both"/>
            </w:pPr>
            <w:r>
              <w:t>Rencontre sanitaire</w:t>
            </w:r>
            <w:r w:rsidR="00223C2F">
              <w:t> ;</w:t>
            </w:r>
          </w:p>
          <w:p w14:paraId="1A40AA28" w14:textId="5C1667FC" w:rsidR="004564C5" w:rsidRDefault="004564C5" w:rsidP="004564C5">
            <w:pPr>
              <w:pStyle w:val="Paragraphedeliste"/>
              <w:numPr>
                <w:ilvl w:val="0"/>
                <w:numId w:val="9"/>
              </w:numPr>
              <w:jc w:val="both"/>
            </w:pPr>
            <w:r>
              <w:t>Comité de section apicole des GDSA où la DRAAF</w:t>
            </w:r>
            <w:r w:rsidR="009E7D1C">
              <w:t>,</w:t>
            </w:r>
            <w:r>
              <w:t xml:space="preserve"> le GTV et l’ADA sont invités</w:t>
            </w:r>
            <w:r w:rsidR="00223C2F">
              <w:t>.</w:t>
            </w:r>
          </w:p>
          <w:p w14:paraId="10E14029" w14:textId="77B8A5F5" w:rsidR="00D31EE1" w:rsidRDefault="00FF14D1" w:rsidP="00D31EE1">
            <w:pPr>
              <w:jc w:val="both"/>
            </w:pPr>
            <w:r>
              <w:t xml:space="preserve">Ces échanges permettront de pérenniser les partenariats existants et </w:t>
            </w:r>
            <w:r w:rsidR="003D6DD3">
              <w:t>potentiellement d’en développer d’autres.</w:t>
            </w:r>
          </w:p>
        </w:tc>
      </w:tr>
      <w:tr w:rsidR="0046607B" w14:paraId="31A64B77" w14:textId="77777777" w:rsidTr="00DC4714">
        <w:trPr>
          <w:trHeight w:val="878"/>
        </w:trPr>
        <w:tc>
          <w:tcPr>
            <w:tcW w:w="1796" w:type="dxa"/>
            <w:vAlign w:val="center"/>
          </w:tcPr>
          <w:p w14:paraId="0BC8330C" w14:textId="77777777" w:rsidR="0046607B" w:rsidRPr="009404C2" w:rsidRDefault="0046607B" w:rsidP="009404C2">
            <w:pPr>
              <w:jc w:val="center"/>
              <w:rPr>
                <w:b/>
                <w:bCs/>
              </w:rPr>
            </w:pPr>
            <w:r w:rsidRPr="009404C2">
              <w:rPr>
                <w:b/>
                <w:bCs/>
              </w:rPr>
              <w:lastRenderedPageBreak/>
              <w:t>Action(s) associée(s)</w:t>
            </w:r>
          </w:p>
        </w:tc>
        <w:tc>
          <w:tcPr>
            <w:tcW w:w="8505" w:type="dxa"/>
            <w:vAlign w:val="center"/>
          </w:tcPr>
          <w:p w14:paraId="1A5B0A49" w14:textId="6BE8BE13" w:rsidR="001A2F5B" w:rsidRDefault="001D3164" w:rsidP="00223C2F">
            <w:r>
              <w:t>Axe 2 – action 1</w:t>
            </w:r>
          </w:p>
        </w:tc>
      </w:tr>
      <w:tr w:rsidR="0046607B" w14:paraId="1A7A76D2" w14:textId="77777777" w:rsidTr="00DC4714">
        <w:tc>
          <w:tcPr>
            <w:tcW w:w="1796" w:type="dxa"/>
            <w:vAlign w:val="center"/>
          </w:tcPr>
          <w:p w14:paraId="53A9EFDE" w14:textId="77777777" w:rsidR="0046607B" w:rsidRPr="009404C2" w:rsidRDefault="0046607B" w:rsidP="009404C2">
            <w:pPr>
              <w:jc w:val="center"/>
              <w:rPr>
                <w:b/>
                <w:bCs/>
              </w:rPr>
            </w:pPr>
            <w:r w:rsidRPr="009404C2">
              <w:rPr>
                <w:b/>
                <w:bCs/>
              </w:rPr>
              <w:t>Indicateurs de résultats</w:t>
            </w:r>
          </w:p>
        </w:tc>
        <w:tc>
          <w:tcPr>
            <w:tcW w:w="8505" w:type="dxa"/>
          </w:tcPr>
          <w:p w14:paraId="118E4B43" w14:textId="4D604833" w:rsidR="005B1B30" w:rsidRDefault="0D8D6758" w:rsidP="00906905">
            <w:r>
              <w:t>Nombre d’apiculteurs à qui l’information sur le sanitaire a été diffusée.</w:t>
            </w:r>
          </w:p>
          <w:p w14:paraId="34896309" w14:textId="07DE1D84" w:rsidR="009404C2" w:rsidRDefault="0D8D6758" w:rsidP="00906905">
            <w:r>
              <w:t>Nombre de conventions signées entre les différents acteurs.</w:t>
            </w:r>
          </w:p>
          <w:p w14:paraId="4B0BB062" w14:textId="5BC99B12" w:rsidR="009404C2" w:rsidRDefault="0D8D6758" w:rsidP="001D3164">
            <w:r>
              <w:t>Nombre d’évènements organisés en commun.</w:t>
            </w:r>
          </w:p>
        </w:tc>
      </w:tr>
      <w:tr w:rsidR="0046607B" w14:paraId="7A25EBB5" w14:textId="77777777" w:rsidTr="00DC4714">
        <w:tc>
          <w:tcPr>
            <w:tcW w:w="1796" w:type="dxa"/>
            <w:vAlign w:val="center"/>
          </w:tcPr>
          <w:p w14:paraId="672D1A3F" w14:textId="77777777" w:rsidR="0046607B" w:rsidRPr="009404C2" w:rsidRDefault="0046607B" w:rsidP="009404C2">
            <w:pPr>
              <w:jc w:val="center"/>
              <w:rPr>
                <w:b/>
                <w:bCs/>
              </w:rPr>
            </w:pPr>
            <w:r w:rsidRPr="009404C2">
              <w:rPr>
                <w:b/>
                <w:bCs/>
              </w:rPr>
              <w:t>Echelle(s) de travail</w:t>
            </w:r>
          </w:p>
        </w:tc>
        <w:tc>
          <w:tcPr>
            <w:tcW w:w="8505" w:type="dxa"/>
          </w:tcPr>
          <w:p w14:paraId="4854D96C" w14:textId="04FB0CDD" w:rsidR="009404C2" w:rsidRDefault="000F33CA" w:rsidP="00F9270A">
            <w:r>
              <w:t>Grand Est</w:t>
            </w:r>
          </w:p>
        </w:tc>
      </w:tr>
      <w:tr w:rsidR="0046607B" w14:paraId="14536EE1" w14:textId="77777777" w:rsidTr="00DC4714">
        <w:tc>
          <w:tcPr>
            <w:tcW w:w="1796" w:type="dxa"/>
            <w:vAlign w:val="center"/>
          </w:tcPr>
          <w:p w14:paraId="1BD0790A" w14:textId="77777777" w:rsidR="0046607B" w:rsidRPr="009404C2" w:rsidRDefault="0046607B" w:rsidP="009404C2">
            <w:pPr>
              <w:jc w:val="center"/>
              <w:rPr>
                <w:b/>
                <w:bCs/>
              </w:rPr>
            </w:pPr>
            <w:r w:rsidRPr="009404C2">
              <w:rPr>
                <w:b/>
                <w:bCs/>
              </w:rPr>
              <w:t>Evaluation financière</w:t>
            </w:r>
          </w:p>
        </w:tc>
        <w:tc>
          <w:tcPr>
            <w:tcW w:w="8505" w:type="dxa"/>
          </w:tcPr>
          <w:p w14:paraId="0B309A46" w14:textId="1AD5BAF2" w:rsidR="00B16EAA" w:rsidRDefault="00B16EAA" w:rsidP="00906905">
            <w:r>
              <w:t xml:space="preserve">Temps d’animation : </w:t>
            </w:r>
            <w:r w:rsidR="00414682">
              <w:t>20 jours estimés (</w:t>
            </w:r>
            <w:r w:rsidR="004B1B19">
              <w:t>~ 5500€)</w:t>
            </w:r>
          </w:p>
          <w:p w14:paraId="27C038E5" w14:textId="4ADEF0DA" w:rsidR="00941FEB" w:rsidRDefault="00B16EAA" w:rsidP="00906905">
            <w:r>
              <w:t xml:space="preserve">Frais externes : </w:t>
            </w:r>
            <w:r w:rsidR="00D21503">
              <w:t>2</w:t>
            </w:r>
            <w:r w:rsidR="00F9270A">
              <w:t>000</w:t>
            </w:r>
            <w:r w:rsidR="00797F90">
              <w:t>€</w:t>
            </w:r>
            <w:r w:rsidR="00F9270A">
              <w:t xml:space="preserve"> pour les rencontres sanitaires</w:t>
            </w:r>
            <w:r>
              <w:t xml:space="preserve"> et </w:t>
            </w:r>
            <w:r w:rsidR="00D21503">
              <w:t>5</w:t>
            </w:r>
            <w:r w:rsidR="00941FEB">
              <w:t>000</w:t>
            </w:r>
            <w:r w:rsidR="00797F90">
              <w:t>€</w:t>
            </w:r>
            <w:r w:rsidR="00941FEB">
              <w:t xml:space="preserve"> pour le séminaire entre acteurs</w:t>
            </w:r>
          </w:p>
        </w:tc>
      </w:tr>
      <w:tr w:rsidR="0046607B" w14:paraId="6294C436" w14:textId="77777777" w:rsidTr="00DC4714">
        <w:tc>
          <w:tcPr>
            <w:tcW w:w="1796" w:type="dxa"/>
            <w:vAlign w:val="center"/>
          </w:tcPr>
          <w:p w14:paraId="5FD15E5D" w14:textId="77777777" w:rsidR="0046607B" w:rsidRPr="009404C2" w:rsidRDefault="0046607B" w:rsidP="009404C2">
            <w:pPr>
              <w:jc w:val="center"/>
              <w:rPr>
                <w:b/>
                <w:bCs/>
              </w:rPr>
            </w:pPr>
            <w:r w:rsidRPr="009404C2">
              <w:rPr>
                <w:b/>
                <w:bCs/>
              </w:rPr>
              <w:t>Pilote(s) de l’action</w:t>
            </w:r>
          </w:p>
        </w:tc>
        <w:tc>
          <w:tcPr>
            <w:tcW w:w="8505" w:type="dxa"/>
          </w:tcPr>
          <w:p w14:paraId="3CAC7D74" w14:textId="77777777" w:rsidR="0046607B" w:rsidRDefault="0046607B" w:rsidP="00906905"/>
          <w:p w14:paraId="42BBB021" w14:textId="2911638C" w:rsidR="009404C2" w:rsidRDefault="005B1B30" w:rsidP="00906905">
            <w:r>
              <w:t xml:space="preserve">GDS apicole Grand Est et ADA grand Est pour les apiculteurs, GTV pour le réseau vétérinaire et DRAAF pour </w:t>
            </w:r>
            <w:r w:rsidR="00AC3C09">
              <w:t>leurs agents</w:t>
            </w:r>
            <w:r>
              <w:t xml:space="preserve"> et la DDPP.</w:t>
            </w:r>
          </w:p>
          <w:p w14:paraId="7E1E1190" w14:textId="3EADC714" w:rsidR="005B1B30" w:rsidRDefault="005B1B30" w:rsidP="00906905"/>
        </w:tc>
      </w:tr>
      <w:tr w:rsidR="0046607B" w14:paraId="0F11D460" w14:textId="77777777" w:rsidTr="00DC4714">
        <w:tc>
          <w:tcPr>
            <w:tcW w:w="1796" w:type="dxa"/>
            <w:vAlign w:val="center"/>
          </w:tcPr>
          <w:p w14:paraId="0038320C" w14:textId="77777777" w:rsidR="0046607B" w:rsidRPr="009404C2" w:rsidRDefault="0046607B" w:rsidP="009404C2">
            <w:pPr>
              <w:jc w:val="center"/>
              <w:rPr>
                <w:b/>
                <w:bCs/>
              </w:rPr>
            </w:pPr>
            <w:r w:rsidRPr="009404C2">
              <w:rPr>
                <w:b/>
                <w:bCs/>
              </w:rPr>
              <w:t>Partenaires potentiels</w:t>
            </w:r>
          </w:p>
        </w:tc>
        <w:tc>
          <w:tcPr>
            <w:tcW w:w="8505" w:type="dxa"/>
          </w:tcPr>
          <w:p w14:paraId="06E4B574" w14:textId="7003EBE1" w:rsidR="009404C2" w:rsidRDefault="005B1B30" w:rsidP="00906905">
            <w:r w:rsidRPr="005B1B30">
              <w:t>Collaboration avec les associations apicoles</w:t>
            </w:r>
            <w:r>
              <w:t xml:space="preserve"> (FRAGE</w:t>
            </w:r>
            <w:r w:rsidRPr="005B1B30">
              <w:t>,</w:t>
            </w:r>
            <w:r>
              <w:t xml:space="preserve"> syndicats apicoles) et</w:t>
            </w:r>
            <w:r w:rsidRPr="005B1B30">
              <w:t xml:space="preserve"> les instituts de recherche</w:t>
            </w:r>
            <w:r>
              <w:t xml:space="preserve"> (INRAE, ITSAP)</w:t>
            </w:r>
          </w:p>
        </w:tc>
      </w:tr>
      <w:bookmarkEnd w:id="0"/>
    </w:tbl>
    <w:p w14:paraId="3D58B185" w14:textId="77777777" w:rsidR="00F805B9" w:rsidRDefault="00F805B9" w:rsidP="009404C2"/>
    <w:p w14:paraId="7243B151" w14:textId="77777777" w:rsidR="006C7255" w:rsidRDefault="006C7255" w:rsidP="009404C2"/>
    <w:p w14:paraId="380547E8" w14:textId="77777777" w:rsidR="006C7255" w:rsidRDefault="006C7255" w:rsidP="009404C2"/>
    <w:p w14:paraId="164E46BE" w14:textId="77777777" w:rsidR="00F95E51" w:rsidRDefault="00F95E51" w:rsidP="009404C2"/>
    <w:p w14:paraId="1DD6C5A1" w14:textId="77777777" w:rsidR="00F95E51" w:rsidRDefault="00F95E51" w:rsidP="009404C2"/>
    <w:p w14:paraId="6A3AA3C4" w14:textId="77777777" w:rsidR="00F95E51" w:rsidRDefault="00F95E51" w:rsidP="009404C2"/>
    <w:p w14:paraId="116C576F" w14:textId="77777777" w:rsidR="00F95E51" w:rsidRDefault="00F95E51" w:rsidP="009404C2"/>
    <w:p w14:paraId="6246DF72" w14:textId="77777777" w:rsidR="00F95E51" w:rsidRDefault="00F95E51" w:rsidP="009404C2"/>
    <w:sectPr w:rsidR="00F95E51" w:rsidSect="00347F11">
      <w:pgSz w:w="11906" w:h="16838"/>
      <w:pgMar w:top="1417" w:right="1417"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251B8" w14:textId="77777777" w:rsidR="00AB065D" w:rsidRDefault="00AB065D" w:rsidP="00347F11">
      <w:pPr>
        <w:spacing w:after="0" w:line="240" w:lineRule="auto"/>
      </w:pPr>
      <w:r>
        <w:separator/>
      </w:r>
    </w:p>
  </w:endnote>
  <w:endnote w:type="continuationSeparator" w:id="0">
    <w:p w14:paraId="42837363" w14:textId="77777777" w:rsidR="00AB065D" w:rsidRDefault="00AB065D" w:rsidP="00347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464AA" w14:textId="77777777" w:rsidR="00AB065D" w:rsidRDefault="00AB065D" w:rsidP="00347F11">
      <w:pPr>
        <w:spacing w:after="0" w:line="240" w:lineRule="auto"/>
      </w:pPr>
      <w:r>
        <w:separator/>
      </w:r>
    </w:p>
  </w:footnote>
  <w:footnote w:type="continuationSeparator" w:id="0">
    <w:p w14:paraId="4F0E7ADD" w14:textId="77777777" w:rsidR="00AB065D" w:rsidRDefault="00AB065D" w:rsidP="00347F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9A6BF7"/>
    <w:multiLevelType w:val="hybridMultilevel"/>
    <w:tmpl w:val="97DC6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5C0382"/>
    <w:multiLevelType w:val="multilevel"/>
    <w:tmpl w:val="829AC5C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27BE6058"/>
    <w:multiLevelType w:val="hybridMultilevel"/>
    <w:tmpl w:val="97AE81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8BE3570"/>
    <w:multiLevelType w:val="multilevel"/>
    <w:tmpl w:val="B540FB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B147D5"/>
    <w:multiLevelType w:val="multilevel"/>
    <w:tmpl w:val="FCBC78A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47F36C40"/>
    <w:multiLevelType w:val="multilevel"/>
    <w:tmpl w:val="5F5A5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DEC0C63"/>
    <w:multiLevelType w:val="hybridMultilevel"/>
    <w:tmpl w:val="81FE71E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1753FC6"/>
    <w:multiLevelType w:val="hybridMultilevel"/>
    <w:tmpl w:val="C4241C80"/>
    <w:lvl w:ilvl="0" w:tplc="F9D61726">
      <w:start w:val="3"/>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6C3579EC"/>
    <w:multiLevelType w:val="multilevel"/>
    <w:tmpl w:val="665C57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950091060">
    <w:abstractNumId w:val="4"/>
  </w:num>
  <w:num w:numId="2" w16cid:durableId="1234008149">
    <w:abstractNumId w:val="6"/>
  </w:num>
  <w:num w:numId="3" w16cid:durableId="115026169">
    <w:abstractNumId w:val="0"/>
  </w:num>
  <w:num w:numId="4" w16cid:durableId="150173809">
    <w:abstractNumId w:val="1"/>
  </w:num>
  <w:num w:numId="5" w16cid:durableId="158472644">
    <w:abstractNumId w:val="5"/>
  </w:num>
  <w:num w:numId="6" w16cid:durableId="1487626275">
    <w:abstractNumId w:val="9"/>
  </w:num>
  <w:num w:numId="7" w16cid:durableId="1830320083">
    <w:abstractNumId w:val="3"/>
  </w:num>
  <w:num w:numId="8" w16cid:durableId="728305574">
    <w:abstractNumId w:val="8"/>
  </w:num>
  <w:num w:numId="9" w16cid:durableId="919486713">
    <w:abstractNumId w:val="7"/>
  </w:num>
  <w:num w:numId="10" w16cid:durableId="274990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05028B"/>
    <w:rsid w:val="000C764F"/>
    <w:rsid w:val="000F33CA"/>
    <w:rsid w:val="00111B19"/>
    <w:rsid w:val="00163969"/>
    <w:rsid w:val="001A2F5B"/>
    <w:rsid w:val="001A4963"/>
    <w:rsid w:val="001D3164"/>
    <w:rsid w:val="00223C2F"/>
    <w:rsid w:val="002742D5"/>
    <w:rsid w:val="00347F11"/>
    <w:rsid w:val="003A0775"/>
    <w:rsid w:val="003D32CB"/>
    <w:rsid w:val="003D6DD3"/>
    <w:rsid w:val="00414682"/>
    <w:rsid w:val="0042352D"/>
    <w:rsid w:val="00430FE5"/>
    <w:rsid w:val="004564C5"/>
    <w:rsid w:val="00456E2A"/>
    <w:rsid w:val="0046607B"/>
    <w:rsid w:val="004B1B19"/>
    <w:rsid w:val="004B4464"/>
    <w:rsid w:val="004D0888"/>
    <w:rsid w:val="005A32CA"/>
    <w:rsid w:val="005B1B30"/>
    <w:rsid w:val="00611CA4"/>
    <w:rsid w:val="0064317F"/>
    <w:rsid w:val="006460ED"/>
    <w:rsid w:val="006C7255"/>
    <w:rsid w:val="006F6508"/>
    <w:rsid w:val="00704DB0"/>
    <w:rsid w:val="007133D6"/>
    <w:rsid w:val="00797F90"/>
    <w:rsid w:val="007A4329"/>
    <w:rsid w:val="007A478C"/>
    <w:rsid w:val="007B5848"/>
    <w:rsid w:val="007C5E75"/>
    <w:rsid w:val="00816170"/>
    <w:rsid w:val="00881DEA"/>
    <w:rsid w:val="0091548D"/>
    <w:rsid w:val="0092765C"/>
    <w:rsid w:val="009404C2"/>
    <w:rsid w:val="00941FEB"/>
    <w:rsid w:val="00953557"/>
    <w:rsid w:val="00982571"/>
    <w:rsid w:val="009E7D1C"/>
    <w:rsid w:val="009F0979"/>
    <w:rsid w:val="00A912EB"/>
    <w:rsid w:val="00AB065D"/>
    <w:rsid w:val="00AC3C09"/>
    <w:rsid w:val="00B019D6"/>
    <w:rsid w:val="00B16EAA"/>
    <w:rsid w:val="00B41149"/>
    <w:rsid w:val="00B50917"/>
    <w:rsid w:val="00B86D1E"/>
    <w:rsid w:val="00BB5E9E"/>
    <w:rsid w:val="00BE63E5"/>
    <w:rsid w:val="00C07A6C"/>
    <w:rsid w:val="00C2693E"/>
    <w:rsid w:val="00C301AD"/>
    <w:rsid w:val="00C81823"/>
    <w:rsid w:val="00C93E5E"/>
    <w:rsid w:val="00CD0813"/>
    <w:rsid w:val="00CE04BD"/>
    <w:rsid w:val="00D21503"/>
    <w:rsid w:val="00D30DAF"/>
    <w:rsid w:val="00D31EE1"/>
    <w:rsid w:val="00D4667D"/>
    <w:rsid w:val="00D74F6A"/>
    <w:rsid w:val="00DA301F"/>
    <w:rsid w:val="00DC4714"/>
    <w:rsid w:val="00DC7578"/>
    <w:rsid w:val="00DF541F"/>
    <w:rsid w:val="00E42090"/>
    <w:rsid w:val="00E638F1"/>
    <w:rsid w:val="00EB7475"/>
    <w:rsid w:val="00EF449E"/>
    <w:rsid w:val="00F01F3C"/>
    <w:rsid w:val="00F451F0"/>
    <w:rsid w:val="00F55137"/>
    <w:rsid w:val="00F805B9"/>
    <w:rsid w:val="00F9270A"/>
    <w:rsid w:val="00F95E51"/>
    <w:rsid w:val="00FD08DE"/>
    <w:rsid w:val="00FF14D1"/>
    <w:rsid w:val="0D8D6758"/>
    <w:rsid w:val="2BE844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C6DC5"/>
  <w15:chartTrackingRefBased/>
  <w15:docId w15:val="{BE3B260F-3414-47F0-BE9A-F778E218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D4667D"/>
    <w:pPr>
      <w:spacing w:after="0" w:line="240" w:lineRule="auto"/>
    </w:pPr>
    <w:rPr>
      <w:rFonts w:ascii="Arial" w:eastAsia="Arial" w:hAnsi="Arial" w:cs="Arial"/>
      <w:kern w:val="0"/>
      <w:sz w:val="20"/>
      <w:szCs w:val="20"/>
      <w:lang w:val="fr" w:eastAsia="fr-FR"/>
      <w14:ligatures w14:val="none"/>
    </w:rPr>
  </w:style>
  <w:style w:type="character" w:customStyle="1" w:styleId="CommentaireCar">
    <w:name w:val="Commentaire Car"/>
    <w:basedOn w:val="Policepardfaut"/>
    <w:link w:val="Commentaire"/>
    <w:uiPriority w:val="99"/>
    <w:rsid w:val="00D4667D"/>
    <w:rPr>
      <w:rFonts w:ascii="Arial" w:eastAsia="Arial" w:hAnsi="Arial" w:cs="Arial"/>
      <w:kern w:val="0"/>
      <w:sz w:val="20"/>
      <w:szCs w:val="20"/>
      <w:lang w:val="fr" w:eastAsia="fr-FR"/>
      <w14:ligatures w14:val="none"/>
    </w:rPr>
  </w:style>
  <w:style w:type="character" w:styleId="Marquedecommentaire">
    <w:name w:val="annotation reference"/>
    <w:basedOn w:val="Policepardfaut"/>
    <w:uiPriority w:val="99"/>
    <w:semiHidden/>
    <w:unhideWhenUsed/>
    <w:rsid w:val="00D4667D"/>
    <w:rPr>
      <w:sz w:val="16"/>
      <w:szCs w:val="16"/>
    </w:rPr>
  </w:style>
  <w:style w:type="character" w:styleId="Lienhypertexte">
    <w:name w:val="Hyperlink"/>
    <w:basedOn w:val="Policepardfaut"/>
    <w:uiPriority w:val="99"/>
    <w:unhideWhenUsed/>
    <w:rsid w:val="004B4464"/>
    <w:rPr>
      <w:color w:val="467886" w:themeColor="hyperlink"/>
      <w:u w:val="single"/>
    </w:rPr>
  </w:style>
  <w:style w:type="character" w:customStyle="1" w:styleId="Mentionnonrsolue1">
    <w:name w:val="Mention non résolue1"/>
    <w:basedOn w:val="Policepardfaut"/>
    <w:uiPriority w:val="99"/>
    <w:semiHidden/>
    <w:unhideWhenUsed/>
    <w:rsid w:val="004B4464"/>
    <w:rPr>
      <w:color w:val="605E5C"/>
      <w:shd w:val="clear" w:color="auto" w:fill="E1DFDD"/>
    </w:rPr>
  </w:style>
  <w:style w:type="character" w:styleId="Lienhypertextesuivivisit">
    <w:name w:val="FollowedHyperlink"/>
    <w:basedOn w:val="Policepardfaut"/>
    <w:uiPriority w:val="99"/>
    <w:semiHidden/>
    <w:unhideWhenUsed/>
    <w:rsid w:val="00B41149"/>
    <w:rPr>
      <w:color w:val="96607D" w:themeColor="followedHyperlink"/>
      <w:u w:val="single"/>
    </w:rPr>
  </w:style>
  <w:style w:type="character" w:customStyle="1" w:styleId="cf01">
    <w:name w:val="cf01"/>
    <w:basedOn w:val="Policepardfaut"/>
    <w:rsid w:val="00347F11"/>
    <w:rPr>
      <w:rFonts w:ascii="Segoe UI" w:hAnsi="Segoe UI" w:cs="Segoe UI" w:hint="default"/>
      <w:sz w:val="18"/>
      <w:szCs w:val="18"/>
    </w:rPr>
  </w:style>
  <w:style w:type="paragraph" w:styleId="En-tte">
    <w:name w:val="header"/>
    <w:basedOn w:val="Normal"/>
    <w:link w:val="En-tteCar"/>
    <w:uiPriority w:val="99"/>
    <w:unhideWhenUsed/>
    <w:rsid w:val="00347F11"/>
    <w:pPr>
      <w:tabs>
        <w:tab w:val="center" w:pos="4536"/>
        <w:tab w:val="right" w:pos="9072"/>
      </w:tabs>
      <w:spacing w:after="0" w:line="240" w:lineRule="auto"/>
    </w:pPr>
  </w:style>
  <w:style w:type="character" w:customStyle="1" w:styleId="En-tteCar">
    <w:name w:val="En-tête Car"/>
    <w:basedOn w:val="Policepardfaut"/>
    <w:link w:val="En-tte"/>
    <w:uiPriority w:val="99"/>
    <w:rsid w:val="00347F11"/>
  </w:style>
  <w:style w:type="paragraph" w:styleId="Pieddepage">
    <w:name w:val="footer"/>
    <w:basedOn w:val="Normal"/>
    <w:link w:val="PieddepageCar"/>
    <w:uiPriority w:val="99"/>
    <w:unhideWhenUsed/>
    <w:rsid w:val="00347F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7F11"/>
  </w:style>
  <w:style w:type="paragraph" w:styleId="Textedebulles">
    <w:name w:val="Balloon Text"/>
    <w:basedOn w:val="Normal"/>
    <w:link w:val="TextedebullesCar"/>
    <w:uiPriority w:val="99"/>
    <w:semiHidden/>
    <w:unhideWhenUsed/>
    <w:rsid w:val="009E7D1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E7D1C"/>
    <w:rPr>
      <w:rFonts w:ascii="Segoe UI" w:hAnsi="Segoe UI" w:cs="Segoe UI"/>
      <w:sz w:val="18"/>
      <w:szCs w:val="18"/>
    </w:rPr>
  </w:style>
  <w:style w:type="paragraph" w:styleId="Rvision">
    <w:name w:val="Revision"/>
    <w:hidden/>
    <w:uiPriority w:val="99"/>
    <w:semiHidden/>
    <w:rsid w:val="00DC47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63636">
      <w:bodyDiv w:val="1"/>
      <w:marLeft w:val="0"/>
      <w:marRight w:val="0"/>
      <w:marTop w:val="0"/>
      <w:marBottom w:val="0"/>
      <w:divBdr>
        <w:top w:val="none" w:sz="0" w:space="0" w:color="auto"/>
        <w:left w:val="none" w:sz="0" w:space="0" w:color="auto"/>
        <w:bottom w:val="none" w:sz="0" w:space="0" w:color="auto"/>
        <w:right w:val="none" w:sz="0" w:space="0" w:color="auto"/>
      </w:divBdr>
    </w:div>
    <w:div w:id="925725293">
      <w:bodyDiv w:val="1"/>
      <w:marLeft w:val="0"/>
      <w:marRight w:val="0"/>
      <w:marTop w:val="0"/>
      <w:marBottom w:val="0"/>
      <w:divBdr>
        <w:top w:val="none" w:sz="0" w:space="0" w:color="auto"/>
        <w:left w:val="none" w:sz="0" w:space="0" w:color="auto"/>
        <w:bottom w:val="none" w:sz="0" w:space="0" w:color="auto"/>
        <w:right w:val="none" w:sz="0" w:space="0" w:color="auto"/>
      </w:divBdr>
    </w:div>
    <w:div w:id="113648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726</Words>
  <Characters>3994</Characters>
  <Application>Microsoft Office Word</Application>
  <DocSecurity>0</DocSecurity>
  <Lines>33</Lines>
  <Paragraphs>9</Paragraphs>
  <ScaleCrop>false</ScaleCrop>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Tonnelier ADAGE</dc:creator>
  <cp:keywords/>
  <dc:description/>
  <cp:lastModifiedBy>Mélanie CROMBECQUE</cp:lastModifiedBy>
  <cp:revision>55</cp:revision>
  <dcterms:created xsi:type="dcterms:W3CDTF">2024-07-01T10:22:00Z</dcterms:created>
  <dcterms:modified xsi:type="dcterms:W3CDTF">2024-09-17T12:29:00Z</dcterms:modified>
</cp:coreProperties>
</file>